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2160"/>
        <w:gridCol w:w="3419"/>
        <w:gridCol w:w="6301"/>
      </w:tblGrid>
      <w:tr w:rsidR="000A63E9" w:rsidRPr="000A63E9" w:rsidTr="00643D7A">
        <w:trPr>
          <w:trHeight w:val="17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63E9" w:rsidRPr="000A63E9" w:rsidRDefault="00643D7A" w:rsidP="00643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63E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5ACD830" wp14:editId="22EE55DF">
                  <wp:extent cx="2181225" cy="904875"/>
                  <wp:effectExtent l="0" t="0" r="0" b="9525"/>
                  <wp:docPr id="6" name="Picture 6" descr="KIDNEY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KIDNEY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5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3E9" w:rsidRPr="000A63E9" w:rsidTr="00643D7A">
        <w:trPr>
          <w:trHeight w:val="1350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71590E" w:rsidRPr="0071590E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Friday*, April 8, 2016 / 12:15 PM - 5:00 PM  CST </w:t>
            </w:r>
          </w:p>
          <w:p w:rsidR="0071590E" w:rsidRPr="0071590E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UAMS Education II Building, Room # B-131, 4301 W. Markham St., Little Rock, AR 72205</w:t>
            </w:r>
          </w:p>
          <w:p w:rsidR="000A63E9" w:rsidRPr="000A63E9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(Park in Parking #2 Visitor Area on Hooper Drive, walk directly across the street to Education II Building and take elevator to basement (B) level.)</w:t>
            </w:r>
          </w:p>
        </w:tc>
      </w:tr>
      <w:tr w:rsidR="0071590E" w:rsidRPr="000A63E9" w:rsidTr="00643D7A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Time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Topic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Speaker</w:t>
            </w:r>
          </w:p>
        </w:tc>
      </w:tr>
      <w:tr w:rsidR="0071590E" w:rsidRPr="000A63E9" w:rsidTr="003E165B">
        <w:trPr>
          <w:trHeight w:val="60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Registration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71590E" w:rsidRDefault="0071590E" w:rsidP="00715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90E" w:rsidRPr="000A63E9" w:rsidTr="00643D7A">
        <w:trPr>
          <w:trHeight w:val="135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12:45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Welcome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Arthur, MD, PHD - University of Arkansas for Medical Sciences</w:t>
            </w:r>
          </w:p>
        </w:tc>
      </w:tr>
      <w:tr w:rsidR="0071590E" w:rsidRPr="000A63E9" w:rsidTr="00643D7A">
        <w:trPr>
          <w:trHeight w:val="97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1:00-5:00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Renal Biopsy Workshop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1590E" w:rsidRDefault="0071590E" w:rsidP="00715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Juan Carlos Velez, MD (Medical University of South Carolina), John Arthur, MD, PhD, (UAMS) Stephen </w:t>
            </w:r>
            <w:proofErr w:type="spellStart"/>
            <w:r>
              <w:rPr>
                <w:rFonts w:ascii="Calibri" w:hAnsi="Calibri"/>
                <w:color w:val="000000"/>
              </w:rPr>
              <w:t>Bonsib</w:t>
            </w:r>
            <w:proofErr w:type="spellEnd"/>
            <w:r>
              <w:rPr>
                <w:rFonts w:ascii="Calibri" w:hAnsi="Calibri"/>
                <w:color w:val="000000"/>
              </w:rPr>
              <w:t>, MD, MS, (</w:t>
            </w:r>
            <w:proofErr w:type="spellStart"/>
            <w:r>
              <w:rPr>
                <w:rFonts w:ascii="Calibri" w:hAnsi="Calibri"/>
                <w:color w:val="000000"/>
              </w:rPr>
              <w:t>Nephropath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</w:rPr>
              <w:t>Nithin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Karakala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MD, (UAMS), </w:t>
            </w:r>
            <w:proofErr w:type="spellStart"/>
            <w:r>
              <w:rPr>
                <w:rFonts w:ascii="Calibri" w:hAnsi="Calibri"/>
                <w:color w:val="000000"/>
              </w:rPr>
              <w:t>Vandana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Niyyar</w:t>
            </w:r>
            <w:proofErr w:type="spellEnd"/>
            <w:r>
              <w:rPr>
                <w:rFonts w:ascii="Calibri" w:hAnsi="Calibri"/>
                <w:color w:val="000000"/>
              </w:rPr>
              <w:t>, MD, (Emory University), Shree Sharma, MD, (</w:t>
            </w:r>
            <w:proofErr w:type="spellStart"/>
            <w:r>
              <w:rPr>
                <w:rFonts w:ascii="Calibri" w:hAnsi="Calibri"/>
                <w:color w:val="000000"/>
              </w:rPr>
              <w:t>Nephropath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A63E9" w:rsidRPr="000A63E9" w:rsidTr="00643D7A">
        <w:trPr>
          <w:trHeight w:val="855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71590E" w:rsidRPr="0071590E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Friday*, April 8, 2016 / 6:15 PM - 8:30 PM CST</w:t>
            </w:r>
          </w:p>
          <w:p w:rsidR="000A63E9" w:rsidRPr="000A63E9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The DoubleT</w:t>
            </w: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ree Hotel, 424 W. Markham St., Little Rock, AR 72201 / (501) 372-4371</w:t>
            </w:r>
          </w:p>
        </w:tc>
      </w:tr>
      <w:tr w:rsidR="0071590E" w:rsidRPr="000A63E9" w:rsidTr="00971932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 xml:space="preserve">6:15-7:15 PM 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 xml:space="preserve">Cocktail Hour 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03D93" w:rsidRDefault="0071590E" w:rsidP="0071590E"/>
        </w:tc>
      </w:tr>
      <w:tr w:rsidR="0071590E" w:rsidRPr="000A63E9" w:rsidTr="00971932">
        <w:trPr>
          <w:trHeight w:val="75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 xml:space="preserve">7:15-7:30 PM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Welcome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03D93" w:rsidRDefault="0071590E" w:rsidP="0071590E">
            <w:r w:rsidRPr="00503D93">
              <w:t>John Arthur, MD, PHD - University of Arkansas for Medical Sciences</w:t>
            </w:r>
          </w:p>
        </w:tc>
      </w:tr>
      <w:tr w:rsidR="0071590E" w:rsidRPr="000A63E9" w:rsidTr="00971932">
        <w:trPr>
          <w:trHeight w:val="75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7:30-8:30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Dinner and Keynote Speaker:  “Working Together to Find Treatments for Kidney Disease”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</w:tcPr>
          <w:p w:rsidR="0071590E" w:rsidRDefault="0071590E" w:rsidP="0071590E">
            <w:r w:rsidRPr="00503D93">
              <w:t xml:space="preserve">James </w:t>
            </w:r>
            <w:proofErr w:type="spellStart"/>
            <w:r w:rsidRPr="00503D93">
              <w:t>Tumlin</w:t>
            </w:r>
            <w:proofErr w:type="spellEnd"/>
            <w:r w:rsidRPr="00503D93">
              <w:t>, MD, CCRP - University of Tennessee at Chattanooga</w:t>
            </w:r>
          </w:p>
        </w:tc>
      </w:tr>
      <w:tr w:rsidR="000A63E9" w:rsidRPr="000A63E9" w:rsidTr="00643D7A">
        <w:trPr>
          <w:trHeight w:val="855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71590E" w:rsidRPr="0071590E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Saturday, April 9, 2016 / 7:00 AM - 5:15 PM CST</w:t>
            </w:r>
          </w:p>
          <w:p w:rsidR="000A63E9" w:rsidRPr="000A63E9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The DoubleT</w:t>
            </w: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ree Hotel, 424 W. Markham St., Little Rock, AR 72201 / (501) 372-4371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7:00 AM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Registration and Continental Breakfast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692ED7" w:rsidRDefault="0071590E" w:rsidP="0071590E"/>
        </w:tc>
      </w:tr>
      <w:tr w:rsidR="0071590E" w:rsidRPr="000A63E9" w:rsidTr="00383494">
        <w:trPr>
          <w:trHeight w:val="61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7:45-8:00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Welcome and Overview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hideMark/>
          </w:tcPr>
          <w:p w:rsidR="0071590E" w:rsidRPr="00692ED7" w:rsidRDefault="0071590E" w:rsidP="0071590E">
            <w:r w:rsidRPr="00692ED7">
              <w:t>John Arthur, MD, PHD - University of Arkansas for Medical Sciences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8:00-8:30 AM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Intra-Abdominal Hypertension in AKI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r w:rsidRPr="00692ED7">
              <w:t>Michael Connor, Jr., MD - Emory University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single" w:sz="4" w:space="0" w:color="auto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8:30-9:00 AM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Volume Management in AKI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692ED7" w:rsidRDefault="0071590E" w:rsidP="0071590E">
            <w:proofErr w:type="spellStart"/>
            <w:r w:rsidRPr="00692ED7">
              <w:t>Nithin</w:t>
            </w:r>
            <w:proofErr w:type="spellEnd"/>
            <w:r w:rsidRPr="00692ED7">
              <w:t xml:space="preserve"> </w:t>
            </w:r>
            <w:proofErr w:type="spellStart"/>
            <w:r w:rsidRPr="00692ED7">
              <w:t>Karakala</w:t>
            </w:r>
            <w:proofErr w:type="spellEnd"/>
            <w:r w:rsidRPr="00692ED7">
              <w:t>, MD - University of Arkansas for Medical Sciences</w:t>
            </w:r>
          </w:p>
        </w:tc>
      </w:tr>
      <w:tr w:rsidR="0071590E" w:rsidRPr="000A63E9" w:rsidTr="0071590E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9:00-9:30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Point of Care Echo in AKI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r w:rsidRPr="00692ED7">
              <w:t>John "Terrill" Huggins, MD - Medical University of South Carolina</w:t>
            </w:r>
          </w:p>
        </w:tc>
      </w:tr>
      <w:tr w:rsidR="0071590E" w:rsidRPr="000A63E9" w:rsidTr="0071590E">
        <w:trPr>
          <w:trHeight w:val="705"/>
        </w:trPr>
        <w:tc>
          <w:tcPr>
            <w:tcW w:w="909" w:type="pct"/>
            <w:tcBorders>
              <w:top w:val="single" w:sz="4" w:space="0" w:color="auto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lastRenderedPageBreak/>
              <w:t>9:30-10:00 AM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Access Placement in AKI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r w:rsidRPr="00692ED7">
              <w:t>Luis Juncos, MD - University  of Mississippi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 xml:space="preserve">10:00-10:15 AM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Break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/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10:15-10:45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Interventional Nephrology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proofErr w:type="spellStart"/>
            <w:r w:rsidRPr="00692ED7">
              <w:t>Vandana</w:t>
            </w:r>
            <w:proofErr w:type="spellEnd"/>
            <w:r w:rsidRPr="00692ED7">
              <w:t xml:space="preserve"> </w:t>
            </w:r>
            <w:proofErr w:type="spellStart"/>
            <w:r w:rsidRPr="00692ED7">
              <w:t>Niyyar</w:t>
            </w:r>
            <w:proofErr w:type="spellEnd"/>
            <w:r w:rsidRPr="00692ED7">
              <w:t xml:space="preserve">, MD - Emory University 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10:45-11:15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AKI Pathology and Cases with Audience Response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r w:rsidRPr="00692ED7">
              <w:t xml:space="preserve">Patrick Walker, MD - </w:t>
            </w:r>
            <w:proofErr w:type="spellStart"/>
            <w:r w:rsidRPr="00692ED7">
              <w:t>Nephropath</w:t>
            </w:r>
            <w:proofErr w:type="spellEnd"/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11:15-11:45 AM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CRRT:  Early or Late?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Pr="00692ED7" w:rsidRDefault="0071590E" w:rsidP="0071590E">
            <w:proofErr w:type="spellStart"/>
            <w:r w:rsidRPr="00692ED7">
              <w:t>Ashita</w:t>
            </w:r>
            <w:proofErr w:type="spellEnd"/>
            <w:r w:rsidRPr="00692ED7">
              <w:t xml:space="preserve"> </w:t>
            </w:r>
            <w:proofErr w:type="spellStart"/>
            <w:r w:rsidRPr="00692ED7">
              <w:t>Tolwani</w:t>
            </w:r>
            <w:proofErr w:type="spellEnd"/>
            <w:r w:rsidRPr="00692ED7">
              <w:t>, MD, MS - University of Alabama at Birmingham</w:t>
            </w:r>
          </w:p>
        </w:tc>
      </w:tr>
      <w:tr w:rsidR="0071590E" w:rsidRPr="000A63E9" w:rsidTr="00383494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11:45-12:15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Discussion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:rsidR="0071590E" w:rsidRDefault="0071590E" w:rsidP="0071590E"/>
        </w:tc>
      </w:tr>
      <w:tr w:rsidR="00D778BF" w:rsidRPr="000A63E9" w:rsidTr="00643D7A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12:15-1:00 PM    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Lunch Break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0070C0"/>
            <w:noWrap/>
            <w:vAlign w:val="center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1590E" w:rsidRPr="000A63E9" w:rsidTr="005624F7">
        <w:trPr>
          <w:trHeight w:val="615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1:00-1:30 PM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Progression of CKD and How We Can Stop It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>James Lash, MD - University of Illinois at Chicago</w:t>
            </w:r>
          </w:p>
        </w:tc>
      </w:tr>
      <w:tr w:rsidR="0071590E" w:rsidRPr="000A63E9" w:rsidTr="005624F7">
        <w:trPr>
          <w:trHeight w:val="585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1:30-2:00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Alternative Therapies in Treatment of CKD - Focus on Acacia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>John Arthur,  MD, PHD - University of Arkansas for Medical Sciences</w:t>
            </w:r>
          </w:p>
        </w:tc>
      </w:tr>
      <w:tr w:rsidR="0071590E" w:rsidRPr="000A63E9" w:rsidTr="005624F7">
        <w:trPr>
          <w:trHeight w:val="66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2:00-2:30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CKD Pathology and Cases with Audience Response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 xml:space="preserve">Shree Sharma, MD - </w:t>
            </w:r>
            <w:proofErr w:type="spellStart"/>
            <w:r w:rsidRPr="005C5019">
              <w:t>Nephropath</w:t>
            </w:r>
            <w:proofErr w:type="spellEnd"/>
          </w:p>
        </w:tc>
      </w:tr>
      <w:tr w:rsidR="0071590E" w:rsidRPr="000A63E9" w:rsidTr="005624F7">
        <w:trPr>
          <w:trHeight w:val="66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2:30-2:45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Break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/>
        </w:tc>
      </w:tr>
      <w:tr w:rsidR="0071590E" w:rsidRPr="000A63E9" w:rsidTr="005624F7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2:45-3:15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Discussion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/>
        </w:tc>
      </w:tr>
      <w:tr w:rsidR="0071590E" w:rsidRPr="000A63E9" w:rsidTr="005624F7">
        <w:trPr>
          <w:trHeight w:val="69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3:15-3:45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New Treatment Options in Lupus Nephritis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 xml:space="preserve">Brad </w:t>
            </w:r>
            <w:proofErr w:type="spellStart"/>
            <w:r w:rsidRPr="005C5019">
              <w:t>Rovin</w:t>
            </w:r>
            <w:proofErr w:type="spellEnd"/>
            <w:r w:rsidRPr="005C5019">
              <w:t>, MD - Ohio State University</w:t>
            </w:r>
          </w:p>
        </w:tc>
      </w:tr>
      <w:tr w:rsidR="0071590E" w:rsidRPr="000A63E9" w:rsidTr="005624F7">
        <w:trPr>
          <w:trHeight w:val="60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3:45-4:15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New Modes of Diagnosis in Glomerular Disease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 xml:space="preserve">Chris Larsen, MD - </w:t>
            </w:r>
            <w:proofErr w:type="spellStart"/>
            <w:r w:rsidRPr="005C5019">
              <w:t>Nephropath</w:t>
            </w:r>
            <w:proofErr w:type="spellEnd"/>
          </w:p>
        </w:tc>
      </w:tr>
      <w:tr w:rsidR="0071590E" w:rsidRPr="000A63E9" w:rsidTr="005624F7">
        <w:trPr>
          <w:trHeight w:val="63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4:15-4:45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Glomerular Pathology and Cases with Audience Response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Pr="005C5019" w:rsidRDefault="0071590E" w:rsidP="0071590E">
            <w:r w:rsidRPr="005C5019">
              <w:t xml:space="preserve">Nicholas </w:t>
            </w:r>
            <w:proofErr w:type="spellStart"/>
            <w:r w:rsidRPr="005C5019">
              <w:t>Cossey</w:t>
            </w:r>
            <w:proofErr w:type="spellEnd"/>
            <w:r w:rsidRPr="005C5019">
              <w:t xml:space="preserve">, MD -  </w:t>
            </w:r>
            <w:proofErr w:type="spellStart"/>
            <w:r w:rsidRPr="005C5019">
              <w:t>Nephropath</w:t>
            </w:r>
            <w:proofErr w:type="spellEnd"/>
          </w:p>
        </w:tc>
      </w:tr>
      <w:tr w:rsidR="0071590E" w:rsidRPr="000A63E9" w:rsidTr="005624F7">
        <w:trPr>
          <w:trHeight w:val="510"/>
        </w:trPr>
        <w:tc>
          <w:tcPr>
            <w:tcW w:w="909" w:type="pc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>4:45-5:15 PM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590E" w:rsidRPr="0071590E" w:rsidRDefault="0071590E" w:rsidP="0071590E">
            <w:pPr>
              <w:rPr>
                <w:b/>
              </w:rPr>
            </w:pPr>
            <w:r w:rsidRPr="0071590E">
              <w:rPr>
                <w:b/>
              </w:rPr>
              <w:t xml:space="preserve">Discussion and Closing Remarks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hideMark/>
          </w:tcPr>
          <w:p w:rsidR="0071590E" w:rsidRDefault="0071590E" w:rsidP="0071590E">
            <w:r w:rsidRPr="005C5019">
              <w:t>John Arthur, MD, PHD - University of Arkansas for Medical Sciences</w:t>
            </w:r>
          </w:p>
        </w:tc>
      </w:tr>
      <w:tr w:rsidR="000A63E9" w:rsidRPr="000A63E9" w:rsidTr="00643D7A">
        <w:trPr>
          <w:trHeight w:val="810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0070C0"/>
            <w:vAlign w:val="center"/>
            <w:hideMark/>
          </w:tcPr>
          <w:p w:rsidR="000A63E9" w:rsidRPr="0071590E" w:rsidRDefault="0071590E" w:rsidP="00715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Sunday, April 10</w:t>
            </w:r>
            <w:r w:rsidR="000A63E9"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, 201</w:t>
            </w: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</w:t>
            </w:r>
            <w:r w:rsidR="000A63E9"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/ 9:00 AM - 12:00 PM CST</w:t>
            </w:r>
            <w:bookmarkStart w:id="0" w:name="_GoBack"/>
            <w:bookmarkEnd w:id="0"/>
            <w:r w:rsidR="000A63E9" w:rsidRPr="0071590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r w:rsidR="000A63E9" w:rsidRPr="0071590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>The Double</w:t>
            </w:r>
            <w:r w:rsidRPr="0071590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>T</w:t>
            </w:r>
            <w:r w:rsidR="000A63E9" w:rsidRPr="0071590E"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  <w:t>ree Hotel, 424 W. Markham St., Little Rock, AR 72201 / (501) 372-4371</w:t>
            </w:r>
          </w:p>
        </w:tc>
      </w:tr>
      <w:tr w:rsidR="001F5352" w:rsidRPr="000A63E9" w:rsidTr="00643D7A">
        <w:trPr>
          <w:trHeight w:val="705"/>
        </w:trPr>
        <w:tc>
          <w:tcPr>
            <w:tcW w:w="909" w:type="pct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A63E9" w:rsidRPr="0071590E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000000"/>
              </w:rPr>
              <w:t>9:00 AM-12:00 PM</w:t>
            </w:r>
          </w:p>
        </w:tc>
        <w:tc>
          <w:tcPr>
            <w:tcW w:w="1439" w:type="pct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63E9" w:rsidRPr="0071590E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000000"/>
              </w:rPr>
              <w:t>Research Discussion</w:t>
            </w:r>
          </w:p>
        </w:tc>
        <w:tc>
          <w:tcPr>
            <w:tcW w:w="2652" w:type="pct"/>
            <w:tcBorders>
              <w:top w:val="single" w:sz="4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0A63E9" w:rsidRPr="000A63E9" w:rsidRDefault="000A63E9" w:rsidP="000A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39AE" w:rsidRPr="000A63E9" w:rsidTr="009939AE">
        <w:trPr>
          <w:trHeight w:val="465"/>
        </w:trPr>
        <w:tc>
          <w:tcPr>
            <w:tcW w:w="5000" w:type="pct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0070C0"/>
            <w:noWrap/>
            <w:vAlign w:val="center"/>
            <w:hideMark/>
          </w:tcPr>
          <w:p w:rsidR="009939AE" w:rsidRPr="0071590E" w:rsidRDefault="009939AE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1590E">
              <w:rPr>
                <w:rFonts w:ascii="Calibri" w:eastAsia="Times New Roman" w:hAnsi="Calibri" w:cs="Times New Roman"/>
                <w:b/>
                <w:bCs/>
                <w:color w:val="FFFFFF"/>
              </w:rPr>
              <w:t>* Please note that Friday's events occur at two different locations.</w:t>
            </w:r>
          </w:p>
          <w:p w:rsidR="009939AE" w:rsidRPr="000A63E9" w:rsidRDefault="009939AE" w:rsidP="000A6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0A63E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 </w:t>
            </w:r>
          </w:p>
        </w:tc>
      </w:tr>
    </w:tbl>
    <w:p w:rsidR="00447AFF" w:rsidRDefault="0071590E"/>
    <w:sectPr w:rsidR="00447AFF" w:rsidSect="00D77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A63E9"/>
    <w:rsid w:val="001B752B"/>
    <w:rsid w:val="001F5352"/>
    <w:rsid w:val="00333B0D"/>
    <w:rsid w:val="00643D7A"/>
    <w:rsid w:val="00694955"/>
    <w:rsid w:val="0071590E"/>
    <w:rsid w:val="008722B3"/>
    <w:rsid w:val="00904DBE"/>
    <w:rsid w:val="00985047"/>
    <w:rsid w:val="009939AE"/>
    <w:rsid w:val="00D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34BCC-EBBB-4D70-A3E2-C69C167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Samuel T</dc:creator>
  <cp:keywords/>
  <dc:description/>
  <cp:lastModifiedBy>Bulloch, Kelly W</cp:lastModifiedBy>
  <cp:revision>2</cp:revision>
  <cp:lastPrinted>2017-01-03T20:27:00Z</cp:lastPrinted>
  <dcterms:created xsi:type="dcterms:W3CDTF">2017-01-19T16:06:00Z</dcterms:created>
  <dcterms:modified xsi:type="dcterms:W3CDTF">2017-01-19T16:06:00Z</dcterms:modified>
</cp:coreProperties>
</file>